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BE42D" w14:textId="4FDC97A7" w:rsidR="000C7085" w:rsidRDefault="000C7085" w:rsidP="00AB35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35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III.6.1.1A - Seguito del </w:t>
      </w:r>
      <w:r w:rsidR="00CD6E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771956" w:rsidRPr="00AB35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aragrafo</w:t>
      </w:r>
      <w:r w:rsidRPr="00AB35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III.6.1 - Tendenze del settore</w:t>
      </w:r>
    </w:p>
    <w:p w14:paraId="605BD2CC" w14:textId="3DB2C05D" w:rsidR="006977C9" w:rsidRDefault="006977C9" w:rsidP="00AB35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D8A8AFA" w14:textId="77777777" w:rsidR="006977C9" w:rsidRDefault="006977C9" w:rsidP="00AB35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72626"/>
          <w:sz w:val="24"/>
          <w:szCs w:val="24"/>
        </w:rPr>
      </w:pPr>
    </w:p>
    <w:p w14:paraId="121D8864" w14:textId="10DCB15A" w:rsidR="00C8261C" w:rsidRDefault="002E7B6C" w:rsidP="00C826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77C9">
        <w:rPr>
          <w:rFonts w:ascii="Times New Roman" w:hAnsi="Times New Roman" w:cs="Times New Roman"/>
          <w:color w:val="000000"/>
          <w:sz w:val="24"/>
          <w:szCs w:val="24"/>
        </w:rPr>
        <w:t>Gli investimenti in infrastrutture di rete</w:t>
      </w:r>
      <w:r w:rsidR="00C826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color w:val="000000"/>
          <w:sz w:val="24"/>
          <w:szCs w:val="24"/>
        </w:rPr>
        <w:t>nel complesso mostrano</w:t>
      </w:r>
      <w:r w:rsidR="00CD6E3E">
        <w:rPr>
          <w:rFonts w:ascii="Times New Roman" w:hAnsi="Times New Roman" w:cs="Times New Roman"/>
          <w:color w:val="000000"/>
          <w:sz w:val="24"/>
          <w:szCs w:val="24"/>
        </w:rPr>
        <w:t>, nel 2020,</w:t>
      </w:r>
      <w:r w:rsidRPr="006977C9">
        <w:rPr>
          <w:rFonts w:ascii="Times New Roman" w:hAnsi="Times New Roman" w:cs="Times New Roman"/>
          <w:color w:val="000000"/>
          <w:sz w:val="24"/>
          <w:szCs w:val="24"/>
        </w:rPr>
        <w:t xml:space="preserve"> una riduzione</w:t>
      </w:r>
      <w:r w:rsidR="00C826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color w:val="000000"/>
          <w:sz w:val="24"/>
          <w:szCs w:val="24"/>
        </w:rPr>
        <w:t>del 7,7% (per</w:t>
      </w:r>
      <w:r w:rsidR="00C826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color w:val="000000"/>
          <w:sz w:val="24"/>
          <w:szCs w:val="24"/>
        </w:rPr>
        <w:t>complessivi 620 milioni di</w:t>
      </w:r>
      <w:r w:rsidR="00C826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color w:val="000000"/>
          <w:sz w:val="24"/>
          <w:szCs w:val="24"/>
        </w:rPr>
        <w:t xml:space="preserve">euro di minori investimenti). </w:t>
      </w:r>
    </w:p>
    <w:p w14:paraId="15A603C4" w14:textId="222F0380" w:rsidR="008815A7" w:rsidRPr="006977C9" w:rsidRDefault="00032567" w:rsidP="004B3E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77C9">
        <w:rPr>
          <w:rFonts w:ascii="Times New Roman" w:hAnsi="Times New Roman" w:cs="Times New Roman"/>
          <w:sz w:val="24"/>
          <w:szCs w:val="24"/>
        </w:rPr>
        <w:t>N</w:t>
      </w:r>
      <w:r w:rsidR="004B3E99" w:rsidRPr="006977C9">
        <w:rPr>
          <w:rFonts w:ascii="Times New Roman" w:hAnsi="Times New Roman" w:cs="Times New Roman"/>
          <w:sz w:val="24"/>
          <w:szCs w:val="24"/>
        </w:rPr>
        <w:t>el 2020</w:t>
      </w:r>
      <w:r w:rsidR="008B25FA" w:rsidRPr="006977C9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 xml:space="preserve">si conferma </w:t>
      </w:r>
      <w:r w:rsidR="008B25FA" w:rsidRPr="006977C9">
        <w:rPr>
          <w:rFonts w:ascii="Times New Roman" w:hAnsi="Times New Roman" w:cs="Times New Roman"/>
          <w:sz w:val="24"/>
          <w:szCs w:val="24"/>
        </w:rPr>
        <w:t xml:space="preserve">la tendenza </w:t>
      </w:r>
      <w:r w:rsidR="000A62F9" w:rsidRPr="006977C9">
        <w:rPr>
          <w:rFonts w:ascii="Times New Roman" w:hAnsi="Times New Roman" w:cs="Times New Roman"/>
          <w:sz w:val="24"/>
          <w:szCs w:val="24"/>
        </w:rPr>
        <w:t>che a partire</w:t>
      </w:r>
      <w:r w:rsidR="008B25FA" w:rsidRPr="006977C9">
        <w:rPr>
          <w:rFonts w:ascii="Times New Roman" w:hAnsi="Times New Roman" w:cs="Times New Roman"/>
          <w:sz w:val="24"/>
          <w:szCs w:val="24"/>
        </w:rPr>
        <w:t xml:space="preserve"> dal 2018</w:t>
      </w:r>
      <w:r w:rsidR="004B3E99" w:rsidRPr="006977C9">
        <w:rPr>
          <w:rFonts w:ascii="Times New Roman" w:hAnsi="Times New Roman" w:cs="Times New Roman"/>
          <w:sz w:val="24"/>
          <w:szCs w:val="24"/>
        </w:rPr>
        <w:t xml:space="preserve"> vede la spesa complessiva degli utenti in servizi di rete fissa essere superiore rispetto alla spesa complessiva in servizi di rete mobile</w:t>
      </w:r>
      <w:r w:rsidR="000A62F9" w:rsidRPr="006977C9">
        <w:rPr>
          <w:rFonts w:ascii="Times New Roman" w:hAnsi="Times New Roman" w:cs="Times New Roman"/>
          <w:sz w:val="24"/>
          <w:szCs w:val="24"/>
        </w:rPr>
        <w:t>. E</w:t>
      </w:r>
      <w:r w:rsidR="008B25FA" w:rsidRPr="006977C9">
        <w:rPr>
          <w:rFonts w:ascii="Times New Roman" w:hAnsi="Times New Roman" w:cs="Times New Roman"/>
          <w:sz w:val="24"/>
          <w:szCs w:val="24"/>
        </w:rPr>
        <w:t>saminando la parte dei ricavi ascrivibile alla clientela residenziale</w:t>
      </w:r>
      <w:r w:rsidR="000A62F9" w:rsidRPr="006977C9">
        <w:rPr>
          <w:rFonts w:ascii="Times New Roman" w:hAnsi="Times New Roman" w:cs="Times New Roman"/>
          <w:sz w:val="24"/>
          <w:szCs w:val="24"/>
        </w:rPr>
        <w:t xml:space="preserve"> e affari </w:t>
      </w:r>
      <w:r w:rsidR="008815A7" w:rsidRPr="006977C9">
        <w:rPr>
          <w:rFonts w:ascii="Times New Roman" w:hAnsi="Times New Roman" w:cs="Times New Roman"/>
          <w:sz w:val="24"/>
          <w:szCs w:val="24"/>
        </w:rPr>
        <w:t>nel corso dell’ultimo anno si registra una flessione che nel complesso è risultata pari al 6,9%.</w:t>
      </w:r>
      <w:r w:rsidR="004B3E99" w:rsidRPr="006977C9">
        <w:rPr>
          <w:rFonts w:ascii="Times New Roman" w:hAnsi="Times New Roman" w:cs="Times New Roman"/>
          <w:sz w:val="24"/>
          <w:szCs w:val="24"/>
        </w:rPr>
        <w:t xml:space="preserve"> L</w:t>
      </w:r>
      <w:r w:rsidR="008815A7" w:rsidRPr="006977C9">
        <w:rPr>
          <w:rFonts w:ascii="Times New Roman" w:hAnsi="Times New Roman" w:cs="Times New Roman"/>
          <w:sz w:val="24"/>
          <w:szCs w:val="24"/>
        </w:rPr>
        <w:t>a</w:t>
      </w:r>
      <w:r w:rsidR="004B3E99" w:rsidRPr="006977C9">
        <w:rPr>
          <w:rFonts w:ascii="Times New Roman" w:hAnsi="Times New Roman" w:cs="Times New Roman"/>
          <w:sz w:val="24"/>
          <w:szCs w:val="24"/>
        </w:rPr>
        <w:t xml:space="preserve"> clientela residenziale </w:t>
      </w:r>
      <w:r w:rsidR="008815A7" w:rsidRPr="006977C9">
        <w:rPr>
          <w:rFonts w:ascii="Times New Roman" w:hAnsi="Times New Roman" w:cs="Times New Roman"/>
          <w:sz w:val="24"/>
          <w:szCs w:val="24"/>
        </w:rPr>
        <w:t>ha registrato una contrazione maggiore rispetto alla seconda (7,5% vs. 6,0%), con un decremento particolarmente rilevante nella rete mobile (-9,1%).</w:t>
      </w:r>
    </w:p>
    <w:p w14:paraId="6550465F" w14:textId="5F594D8F" w:rsidR="00F410FA" w:rsidRPr="006977C9" w:rsidRDefault="00F410FA" w:rsidP="006977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77C9">
        <w:rPr>
          <w:rFonts w:ascii="Times New Roman" w:hAnsi="Times New Roman" w:cs="Times New Roman"/>
          <w:sz w:val="24"/>
          <w:szCs w:val="24"/>
        </w:rPr>
        <w:t xml:space="preserve">Per ciò che riguarda i ricavi da servizi intermedi (wholesale) si osserva una complessiva crescita degli introiti (in media del 4,7%). Tale andamento è dovuto anche agli effetti dei cambiamenti generati dalla pandemia sulla vita quotidiana degli italiani. </w:t>
      </w:r>
    </w:p>
    <w:p w14:paraId="5089DBB8" w14:textId="739B6233" w:rsidR="00F410FA" w:rsidRPr="006977C9" w:rsidRDefault="00F410FA" w:rsidP="006977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77C9">
        <w:rPr>
          <w:rFonts w:ascii="Times New Roman" w:hAnsi="Times New Roman" w:cs="Times New Roman"/>
          <w:sz w:val="24"/>
          <w:szCs w:val="24"/>
        </w:rPr>
        <w:t xml:space="preserve">Un’ulteriore evidenza di questi effetti si può riscontrare nella crescita degli introiti legati ai canoni per abbonamenti a linee </w:t>
      </w:r>
      <w:r w:rsidRPr="006977C9">
        <w:rPr>
          <w:rFonts w:ascii="Times New Roman" w:hAnsi="Times New Roman" w:cs="Times New Roman"/>
          <w:i/>
          <w:iCs/>
          <w:sz w:val="24"/>
          <w:szCs w:val="24"/>
        </w:rPr>
        <w:t xml:space="preserve">ultrabroadband </w:t>
      </w:r>
      <w:r w:rsidRPr="006977C9">
        <w:rPr>
          <w:rFonts w:ascii="Times New Roman" w:hAnsi="Times New Roman" w:cs="Times New Roman"/>
          <w:sz w:val="24"/>
          <w:szCs w:val="24"/>
        </w:rPr>
        <w:t>(VDSL e FTTH in primo luogo) come conseguenza dell’aumento del numero di utenti che ha scelto di usufruire di prestazioni caratterizzate da una maggiore qualità nella velocità di connessione da rete fissa.</w:t>
      </w:r>
    </w:p>
    <w:p w14:paraId="3AC4C500" w14:textId="18AB96F9" w:rsidR="00F410FA" w:rsidRPr="00D862F7" w:rsidRDefault="00F410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77C9">
        <w:rPr>
          <w:rFonts w:ascii="Times New Roman" w:hAnsi="Times New Roman" w:cs="Times New Roman"/>
          <w:sz w:val="24"/>
          <w:szCs w:val="24"/>
        </w:rPr>
        <w:t>Per i servizi mobili, l’incremento nei volumi di traffico delle comunicazioni vocali è alla base dell’aumento, in particolare, dei ricavi da servizi di terminazione per chiamate da altre reti mobili.</w:t>
      </w:r>
    </w:p>
    <w:p w14:paraId="50249C22" w14:textId="77777777" w:rsidR="00C8261C" w:rsidRDefault="002E7B6C" w:rsidP="00C826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77C9">
        <w:rPr>
          <w:rFonts w:ascii="Times New Roman" w:hAnsi="Times New Roman" w:cs="Times New Roman"/>
          <w:color w:val="000000"/>
          <w:sz w:val="24"/>
          <w:szCs w:val="24"/>
        </w:rPr>
        <w:t>Gli investimenti</w:t>
      </w:r>
      <w:r w:rsidR="00C826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color w:val="000000"/>
          <w:sz w:val="24"/>
          <w:szCs w:val="24"/>
        </w:rPr>
        <w:t>dell’</w:t>
      </w:r>
      <w:r w:rsidRPr="006977C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incumbent </w:t>
      </w:r>
      <w:r w:rsidRPr="006977C9">
        <w:rPr>
          <w:rFonts w:ascii="Times New Roman" w:hAnsi="Times New Roman" w:cs="Times New Roman"/>
          <w:color w:val="000000"/>
          <w:sz w:val="24"/>
          <w:szCs w:val="24"/>
        </w:rPr>
        <w:t>hanno nel complesso subito una</w:t>
      </w:r>
      <w:r w:rsidR="00C826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color w:val="000000"/>
          <w:sz w:val="24"/>
          <w:szCs w:val="24"/>
        </w:rPr>
        <w:t>contrazione (-4,3%) nettamente inferiore rispetto</w:t>
      </w:r>
      <w:r w:rsidR="00C826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color w:val="000000"/>
          <w:sz w:val="24"/>
          <w:szCs w:val="24"/>
        </w:rPr>
        <w:t>a quanto osservabile per gli altri operatori</w:t>
      </w:r>
      <w:r w:rsidR="00C826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color w:val="000000"/>
          <w:sz w:val="24"/>
          <w:szCs w:val="24"/>
        </w:rPr>
        <w:t>(-9,3%).</w:t>
      </w:r>
    </w:p>
    <w:p w14:paraId="3459FD09" w14:textId="56DFFD7C" w:rsidR="00674E08" w:rsidRDefault="002E7B6C" w:rsidP="00C826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77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Quanto descritto determina uno scenario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competitivo in evoluzione in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cui emerge una diminuzione della quota di TIM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di 2 punti percentuali</w:t>
      </w:r>
      <w:r w:rsidR="00671631">
        <w:rPr>
          <w:rFonts w:ascii="Times New Roman" w:hAnsi="Times New Roman" w:cs="Times New Roman"/>
          <w:sz w:val="24"/>
          <w:szCs w:val="24"/>
        </w:rPr>
        <w:t xml:space="preserve">. </w:t>
      </w:r>
      <w:r w:rsidRPr="006977C9">
        <w:rPr>
          <w:rFonts w:ascii="Times New Roman" w:hAnsi="Times New Roman" w:cs="Times New Roman"/>
          <w:sz w:val="24"/>
          <w:szCs w:val="24"/>
        </w:rPr>
        <w:t>Se ne avvantaggiano soprattutto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Fastweb, che guadagna oltre un punto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percentuale anche grazie all’integrazione dei servizi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fissi e mobili, e Iliad (+0,9 punti percentuali),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le cui offerte hanno superato a fine anno 7,2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milioni di sottoscrizioni.</w:t>
      </w:r>
    </w:p>
    <w:p w14:paraId="4408423C" w14:textId="0BE1C86C" w:rsidR="00103D6A" w:rsidRDefault="002E7B6C" w:rsidP="00C826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77C9">
        <w:rPr>
          <w:rFonts w:ascii="Times New Roman" w:hAnsi="Times New Roman" w:cs="Times New Roman"/>
          <w:sz w:val="24"/>
          <w:szCs w:val="24"/>
        </w:rPr>
        <w:t>Nonostante la presenza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sul mercato di operatori di grandi dimensioni,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va considerato che i mercati delle comunicazioni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elettroniche si presentano dinamici in termini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di offerta di nuovi servizi e di possibili ambiti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operativi per imprese di minori dimensioni. Tra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i primi figurano le imprese che offrono servizi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 xml:space="preserve">tramite tecnologia </w:t>
      </w:r>
      <w:r w:rsidRPr="006977C9">
        <w:rPr>
          <w:rFonts w:ascii="Times New Roman" w:hAnsi="Times New Roman" w:cs="Times New Roman"/>
          <w:i/>
          <w:iCs/>
          <w:sz w:val="24"/>
          <w:szCs w:val="24"/>
        </w:rPr>
        <w:t xml:space="preserve">Fixed Wireless Access </w:t>
      </w:r>
      <w:r w:rsidRPr="006977C9">
        <w:rPr>
          <w:rFonts w:ascii="Times New Roman" w:hAnsi="Times New Roman" w:cs="Times New Roman"/>
          <w:sz w:val="24"/>
          <w:szCs w:val="24"/>
        </w:rPr>
        <w:t>(FWA),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segmento che nel complesso si stima aver raggiunto,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nel 2020, il valore di 370 milioni di euro.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Tra i secondi, si rileva la presenza di operatori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cosiddetti virtuali (MVNO) per i quali si evidenzia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un giro di affari arrivato a superare i 700 milioni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di euro.</w:t>
      </w:r>
    </w:p>
    <w:p w14:paraId="46F93BC4" w14:textId="7DEA31D1" w:rsidR="00674E08" w:rsidRDefault="002E7B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77C9">
        <w:rPr>
          <w:rFonts w:ascii="Times New Roman" w:hAnsi="Times New Roman" w:cs="Times New Roman"/>
          <w:sz w:val="24"/>
          <w:szCs w:val="24"/>
        </w:rPr>
        <w:t xml:space="preserve">Per ciò che riguarda </w:t>
      </w:r>
      <w:r w:rsidR="00970AD1">
        <w:rPr>
          <w:rFonts w:ascii="Times New Roman" w:hAnsi="Times New Roman" w:cs="Times New Roman"/>
          <w:sz w:val="24"/>
          <w:szCs w:val="24"/>
        </w:rPr>
        <w:t>la riduzione de</w:t>
      </w:r>
      <w:r w:rsidRPr="006977C9">
        <w:rPr>
          <w:rFonts w:ascii="Times New Roman" w:hAnsi="Times New Roman" w:cs="Times New Roman"/>
          <w:sz w:val="24"/>
          <w:szCs w:val="24"/>
        </w:rPr>
        <w:t>gli investimenti in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infrastrutture, vi è da dire che</w:t>
      </w:r>
      <w:r w:rsidR="00D0262F">
        <w:rPr>
          <w:rFonts w:ascii="Times New Roman" w:hAnsi="Times New Roman" w:cs="Times New Roman"/>
          <w:sz w:val="24"/>
          <w:szCs w:val="24"/>
        </w:rPr>
        <w:t xml:space="preserve"> tale risultato è frutto di due differenti dinamiche: </w:t>
      </w:r>
      <w:r w:rsidR="00D862F7" w:rsidRPr="006D68F6">
        <w:rPr>
          <w:rFonts w:ascii="Times New Roman" w:hAnsi="Times New Roman" w:cs="Times New Roman"/>
          <w:sz w:val="24"/>
          <w:szCs w:val="24"/>
        </w:rPr>
        <w:t>nella rete fissa</w:t>
      </w:r>
      <w:r w:rsidR="00D862F7">
        <w:rPr>
          <w:rFonts w:ascii="Times New Roman" w:hAnsi="Times New Roman" w:cs="Times New Roman"/>
          <w:sz w:val="24"/>
          <w:szCs w:val="24"/>
        </w:rPr>
        <w:t xml:space="preserve"> </w:t>
      </w:r>
      <w:r w:rsidR="00D862F7" w:rsidRPr="006D68F6">
        <w:rPr>
          <w:rFonts w:ascii="Times New Roman" w:hAnsi="Times New Roman" w:cs="Times New Roman"/>
          <w:sz w:val="24"/>
          <w:szCs w:val="24"/>
        </w:rPr>
        <w:t xml:space="preserve">si </w:t>
      </w:r>
      <w:r w:rsidR="00D862F7">
        <w:rPr>
          <w:rFonts w:ascii="Times New Roman" w:hAnsi="Times New Roman" w:cs="Times New Roman"/>
          <w:sz w:val="24"/>
          <w:szCs w:val="24"/>
        </w:rPr>
        <w:t>registra</w:t>
      </w:r>
      <w:r w:rsidR="00D862F7" w:rsidRPr="006D68F6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nell’ultimo anno,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per effetto della pandemia, un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rallentamento degli investimenti che, sebbene marginale (poco superiore all’1%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nell’ultimo anno), interessa soprattutto gli operatori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concorrenti (cd. OAO)</w:t>
      </w:r>
      <w:r w:rsidR="00D0262F">
        <w:rPr>
          <w:rFonts w:ascii="Times New Roman" w:hAnsi="Times New Roman" w:cs="Times New Roman"/>
          <w:sz w:val="24"/>
          <w:szCs w:val="24"/>
        </w:rPr>
        <w:t xml:space="preserve">; mentre </w:t>
      </w:r>
      <w:r w:rsidR="00D862F7" w:rsidRPr="006D68F6">
        <w:rPr>
          <w:rFonts w:ascii="Times New Roman" w:hAnsi="Times New Roman" w:cs="Times New Roman"/>
          <w:sz w:val="24"/>
          <w:szCs w:val="24"/>
        </w:rPr>
        <w:t>nella rete mobile</w:t>
      </w:r>
      <w:r w:rsidR="00D862F7">
        <w:rPr>
          <w:rFonts w:ascii="Times New Roman" w:hAnsi="Times New Roman" w:cs="Times New Roman"/>
          <w:sz w:val="24"/>
          <w:szCs w:val="24"/>
        </w:rPr>
        <w:t xml:space="preserve"> si registra </w:t>
      </w:r>
      <w:r w:rsidR="00D0262F">
        <w:rPr>
          <w:rFonts w:ascii="Times New Roman" w:hAnsi="Times New Roman" w:cs="Times New Roman"/>
          <w:sz w:val="24"/>
          <w:szCs w:val="24"/>
        </w:rPr>
        <w:t>un calo più accentuato</w:t>
      </w:r>
      <w:r w:rsidR="00D862F7">
        <w:rPr>
          <w:rFonts w:ascii="Times New Roman" w:hAnsi="Times New Roman" w:cs="Times New Roman"/>
          <w:sz w:val="24"/>
          <w:szCs w:val="24"/>
        </w:rPr>
        <w:t xml:space="preserve"> degli investimenti </w:t>
      </w:r>
      <w:r w:rsidR="00D0262F" w:rsidRPr="006D68F6">
        <w:rPr>
          <w:rFonts w:ascii="Times New Roman" w:hAnsi="Times New Roman" w:cs="Times New Roman"/>
          <w:sz w:val="24"/>
          <w:szCs w:val="24"/>
        </w:rPr>
        <w:t>(-20% circa),</w:t>
      </w:r>
      <w:r w:rsidR="00D0262F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dove la dinamica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concorrenziale è decisamente più accesa, i margini</w:t>
      </w:r>
      <w:r w:rsidR="00C8261C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degli operatori più contenuti. Tuttavia, tale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diminuzione è anche il fisiologico rimbalzo degli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ingenti investimenti in frequenze 5G effettuati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 xml:space="preserve">dagli operatori negli scorsi anni. </w:t>
      </w:r>
    </w:p>
    <w:p w14:paraId="5C3DC977" w14:textId="77777777" w:rsidR="00970AD1" w:rsidRDefault="002E7B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77C9">
        <w:rPr>
          <w:rFonts w:ascii="Times New Roman" w:hAnsi="Times New Roman" w:cs="Times New Roman"/>
          <w:sz w:val="24"/>
          <w:szCs w:val="24"/>
        </w:rPr>
        <w:t>Nonostante il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quadro macroeconomico non favorevole, il settore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ha mostrato una capacità di tenuta rispetto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all’economia nel suo complesso che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si riflette anche sullo sviluppo delle infrastrutture.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La copertura della rete NGA si attesta nel 2020 a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circa il 93% delle unità immobiliari, mentre la rete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mobile 4G ha raggiunto sostanzialmente tutta la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popolazione con valori di copertura pari al 99%.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In particolare, gli investimenti si riflettono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in reti e servizi di qualità superiore. Al riguardo,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le linee in fibra (FTTC, FTTH e FWA) rappresentano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circa il 64% delle linee complessive, in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crescita di 9 punti in un anno, segno tangibile di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uno sforzo crescente per la realizzazione delle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reti a elevata ed elevatissima velocità, sotto la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spinta anche della domanda di connettività, in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aumento nell’ultimo anno a causa dell’emergenza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 xml:space="preserve">sanitaria. </w:t>
      </w:r>
    </w:p>
    <w:p w14:paraId="12B801E9" w14:textId="06B4AA15" w:rsidR="00674E08" w:rsidRDefault="002E7B6C" w:rsidP="006977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77C9">
        <w:rPr>
          <w:rFonts w:ascii="Times New Roman" w:hAnsi="Times New Roman" w:cs="Times New Roman"/>
          <w:sz w:val="24"/>
          <w:szCs w:val="24"/>
        </w:rPr>
        <w:lastRenderedPageBreak/>
        <w:t>Dal punto di vista della penetrazione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del servizio, le linee con velocità superiore a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30Mps e superiore a 100 Mbps sul totale delle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linee broadband sono entrambe aumentate, sebbene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la crescita sia contenuta (meno di 1 punto</w:t>
      </w:r>
      <w:r w:rsidR="00970AD1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percentuale) e mostri significative differenze territoriali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se si osservano i dati relativi alla penetrazione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in % della popolazione.</w:t>
      </w:r>
    </w:p>
    <w:p w14:paraId="35E65B60" w14:textId="5163EE3C" w:rsidR="002E7B6C" w:rsidRPr="006977C9" w:rsidRDefault="002E7B6C" w:rsidP="006977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977C9">
        <w:rPr>
          <w:rFonts w:ascii="Times New Roman" w:hAnsi="Times New Roman" w:cs="Times New Roman"/>
          <w:sz w:val="24"/>
          <w:szCs w:val="24"/>
        </w:rPr>
        <w:t>In effetti,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la diffusione dei servizi a banda ultra-larga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rappresenta ancora un problema strutturale nazionale,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in cui il deficit di domanda costituisce,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come più volte richiamato dall’Autorità</w:t>
      </w:r>
      <w:r w:rsidR="00674E08">
        <w:rPr>
          <w:rFonts w:ascii="Times New Roman" w:hAnsi="Times New Roman" w:cs="Times New Roman"/>
          <w:sz w:val="24"/>
          <w:szCs w:val="24"/>
        </w:rPr>
        <w:t xml:space="preserve"> (AGCOM)</w:t>
      </w:r>
      <w:r w:rsidRPr="006977C9">
        <w:rPr>
          <w:rFonts w:ascii="Times New Roman" w:hAnsi="Times New Roman" w:cs="Times New Roman"/>
          <w:sz w:val="24"/>
          <w:szCs w:val="24"/>
        </w:rPr>
        <w:t>, un serio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ostacolo alla digitalizzazione del Paese.</w:t>
      </w:r>
    </w:p>
    <w:p w14:paraId="1DC76D2C" w14:textId="6D92E54F" w:rsidR="002E7B6C" w:rsidRDefault="00C8261C" w:rsidP="006977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Garamond-Book" w:hAnsi="Garamond-Book" w:cs="Garamond-Book"/>
          <w:color w:val="FFFFFF"/>
          <w:sz w:val="20"/>
          <w:szCs w:val="20"/>
        </w:rPr>
      </w:pPr>
      <w:r w:rsidRPr="006977C9">
        <w:rPr>
          <w:rFonts w:ascii="Times New Roman" w:hAnsi="Times New Roman" w:cs="Times New Roman"/>
          <w:sz w:val="24"/>
          <w:szCs w:val="24"/>
        </w:rPr>
        <w:t>Con riferimento agli effetti della regolamentazione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sugli utenti finali, il livello dei prezzi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dei servizi fornisce una primaria indicazione dei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benefici della concorrenza e del miglioramento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del benessere del consumatore. Gli indici dei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prezzi dei diversi servizi al dettaglio (servizi di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base di rete fissa, servizi di connettività fissa e di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connettività mobile) sono tutti, da anni, ben al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di sotto dell’indice generale dei prezzi, ad eccezione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di quelli dei servizi di accesso e di base di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rete fissa (poco al di sopra), denotando un’evoluzione</w:t>
      </w:r>
      <w:r w:rsidR="00674E08">
        <w:rPr>
          <w:rFonts w:ascii="Times New Roman" w:hAnsi="Times New Roman" w:cs="Times New Roman"/>
          <w:sz w:val="24"/>
          <w:szCs w:val="24"/>
        </w:rPr>
        <w:t xml:space="preserve"> </w:t>
      </w:r>
      <w:r w:rsidRPr="006977C9">
        <w:rPr>
          <w:rFonts w:ascii="Times New Roman" w:hAnsi="Times New Roman" w:cs="Times New Roman"/>
          <w:sz w:val="24"/>
          <w:szCs w:val="24"/>
        </w:rPr>
        <w:t>positiva di cui beneficiano gli utenti finali.</w:t>
      </w:r>
      <w:r w:rsidR="002E7B6C">
        <w:rPr>
          <w:rFonts w:ascii="Garamond-Book" w:hAnsi="Garamond-Book" w:cs="Garamond-Book"/>
          <w:color w:val="FFFFFF"/>
          <w:sz w:val="20"/>
          <w:szCs w:val="20"/>
        </w:rPr>
        <w:t xml:space="preserve"> 1.4.3 - Investimenti in immobilizzazioni (miliardi di </w:t>
      </w:r>
      <w:r w:rsidR="002E7B6C">
        <w:rPr>
          <w:rFonts w:ascii="Eurofont" w:hAnsi="Eurofont" w:cs="Eurofont"/>
          <w:color w:val="FFFFFF"/>
          <w:sz w:val="20"/>
          <w:szCs w:val="20"/>
        </w:rPr>
        <w:t>L</w:t>
      </w:r>
      <w:r w:rsidR="002E7B6C">
        <w:rPr>
          <w:rFonts w:ascii="Garamond-Book" w:hAnsi="Garamond-Book" w:cs="Garamond-Book"/>
          <w:color w:val="FFFFFF"/>
          <w:sz w:val="20"/>
          <w:szCs w:val="20"/>
        </w:rPr>
        <w:t>)</w:t>
      </w:r>
    </w:p>
    <w:p w14:paraId="4158A73F" w14:textId="0114E59F" w:rsidR="00970AD1" w:rsidRDefault="00970A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B9AE0D" w14:textId="77777777" w:rsidR="00970AD1" w:rsidRDefault="00970A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0D5309" w14:textId="77777777" w:rsidR="0001428C" w:rsidRDefault="000142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0142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C5BDA" w14:textId="77777777" w:rsidR="0057599E" w:rsidRDefault="0057599E" w:rsidP="00EB7F0D">
      <w:pPr>
        <w:spacing w:after="0" w:line="240" w:lineRule="auto"/>
      </w:pPr>
      <w:r>
        <w:separator/>
      </w:r>
    </w:p>
  </w:endnote>
  <w:endnote w:type="continuationSeparator" w:id="0">
    <w:p w14:paraId="7AF405C2" w14:textId="77777777" w:rsidR="0057599E" w:rsidRDefault="0057599E" w:rsidP="00EB7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-Book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fon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A840F" w14:textId="77777777" w:rsidR="0057599E" w:rsidRDefault="0057599E" w:rsidP="00EB7F0D">
      <w:pPr>
        <w:spacing w:after="0" w:line="240" w:lineRule="auto"/>
      </w:pPr>
      <w:r>
        <w:separator/>
      </w:r>
    </w:p>
  </w:footnote>
  <w:footnote w:type="continuationSeparator" w:id="0">
    <w:p w14:paraId="67662E8B" w14:textId="77777777" w:rsidR="0057599E" w:rsidRDefault="0057599E" w:rsidP="00EB7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753D7"/>
    <w:multiLevelType w:val="hybridMultilevel"/>
    <w:tmpl w:val="53A2ECBC"/>
    <w:lvl w:ilvl="0" w:tplc="D3283584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7967"/>
    <w:rsid w:val="0001428C"/>
    <w:rsid w:val="0002276C"/>
    <w:rsid w:val="00032567"/>
    <w:rsid w:val="0003733A"/>
    <w:rsid w:val="000562EB"/>
    <w:rsid w:val="00057967"/>
    <w:rsid w:val="00057AD8"/>
    <w:rsid w:val="00070A02"/>
    <w:rsid w:val="000A62F9"/>
    <w:rsid w:val="000C0084"/>
    <w:rsid w:val="000C63FF"/>
    <w:rsid w:val="000C7085"/>
    <w:rsid w:val="000F5021"/>
    <w:rsid w:val="00103D6A"/>
    <w:rsid w:val="0012028E"/>
    <w:rsid w:val="00123D84"/>
    <w:rsid w:val="00161980"/>
    <w:rsid w:val="00166A95"/>
    <w:rsid w:val="001717B7"/>
    <w:rsid w:val="00192145"/>
    <w:rsid w:val="001B0AD8"/>
    <w:rsid w:val="001B7134"/>
    <w:rsid w:val="001F0025"/>
    <w:rsid w:val="001F420C"/>
    <w:rsid w:val="0020378E"/>
    <w:rsid w:val="00214825"/>
    <w:rsid w:val="00225980"/>
    <w:rsid w:val="00246944"/>
    <w:rsid w:val="00256462"/>
    <w:rsid w:val="00265839"/>
    <w:rsid w:val="0027596B"/>
    <w:rsid w:val="00287A56"/>
    <w:rsid w:val="00290C94"/>
    <w:rsid w:val="002A14A3"/>
    <w:rsid w:val="002B7F43"/>
    <w:rsid w:val="002C5314"/>
    <w:rsid w:val="002D398A"/>
    <w:rsid w:val="002E7B6C"/>
    <w:rsid w:val="002F1F36"/>
    <w:rsid w:val="003158D7"/>
    <w:rsid w:val="003317A3"/>
    <w:rsid w:val="003352B4"/>
    <w:rsid w:val="00341B47"/>
    <w:rsid w:val="00346883"/>
    <w:rsid w:val="00387B2D"/>
    <w:rsid w:val="003C7B77"/>
    <w:rsid w:val="003E3142"/>
    <w:rsid w:val="003E7B3B"/>
    <w:rsid w:val="003F159F"/>
    <w:rsid w:val="003F4CA6"/>
    <w:rsid w:val="003F6219"/>
    <w:rsid w:val="003F6A98"/>
    <w:rsid w:val="004004C3"/>
    <w:rsid w:val="004031FE"/>
    <w:rsid w:val="00403D60"/>
    <w:rsid w:val="004259D1"/>
    <w:rsid w:val="00441FB7"/>
    <w:rsid w:val="00463CD7"/>
    <w:rsid w:val="00472CC2"/>
    <w:rsid w:val="00475298"/>
    <w:rsid w:val="00496F90"/>
    <w:rsid w:val="004B3E99"/>
    <w:rsid w:val="004B497A"/>
    <w:rsid w:val="004B6DCA"/>
    <w:rsid w:val="004C0D8F"/>
    <w:rsid w:val="004C142A"/>
    <w:rsid w:val="004C2041"/>
    <w:rsid w:val="004C2930"/>
    <w:rsid w:val="004D642F"/>
    <w:rsid w:val="004F0B75"/>
    <w:rsid w:val="004F1AC4"/>
    <w:rsid w:val="004F3BDC"/>
    <w:rsid w:val="00504E25"/>
    <w:rsid w:val="00507131"/>
    <w:rsid w:val="00512F82"/>
    <w:rsid w:val="00566682"/>
    <w:rsid w:val="0057599E"/>
    <w:rsid w:val="00590EC6"/>
    <w:rsid w:val="005A254F"/>
    <w:rsid w:val="005C4EE1"/>
    <w:rsid w:val="005D20CE"/>
    <w:rsid w:val="00603B12"/>
    <w:rsid w:val="006372D6"/>
    <w:rsid w:val="00645D10"/>
    <w:rsid w:val="00655910"/>
    <w:rsid w:val="00671631"/>
    <w:rsid w:val="00674E08"/>
    <w:rsid w:val="006761FC"/>
    <w:rsid w:val="006977C9"/>
    <w:rsid w:val="006B1FBD"/>
    <w:rsid w:val="006C281D"/>
    <w:rsid w:val="006F6B50"/>
    <w:rsid w:val="00722599"/>
    <w:rsid w:val="00731C1E"/>
    <w:rsid w:val="00762A52"/>
    <w:rsid w:val="00766105"/>
    <w:rsid w:val="00766B86"/>
    <w:rsid w:val="00771956"/>
    <w:rsid w:val="0078074C"/>
    <w:rsid w:val="007A64E0"/>
    <w:rsid w:val="008103C7"/>
    <w:rsid w:val="00816D52"/>
    <w:rsid w:val="0085137A"/>
    <w:rsid w:val="00875D63"/>
    <w:rsid w:val="008815A7"/>
    <w:rsid w:val="008920B8"/>
    <w:rsid w:val="008937EC"/>
    <w:rsid w:val="008B25FA"/>
    <w:rsid w:val="008B3168"/>
    <w:rsid w:val="008C1A2B"/>
    <w:rsid w:val="008D205B"/>
    <w:rsid w:val="008E1A18"/>
    <w:rsid w:val="008E3466"/>
    <w:rsid w:val="00900B9E"/>
    <w:rsid w:val="009159FA"/>
    <w:rsid w:val="009300D8"/>
    <w:rsid w:val="00940D0F"/>
    <w:rsid w:val="0096031F"/>
    <w:rsid w:val="00965AE3"/>
    <w:rsid w:val="00967F09"/>
    <w:rsid w:val="00970AD1"/>
    <w:rsid w:val="009912BF"/>
    <w:rsid w:val="009A2DF6"/>
    <w:rsid w:val="009C15BE"/>
    <w:rsid w:val="009E4D09"/>
    <w:rsid w:val="00A00D40"/>
    <w:rsid w:val="00A05D7A"/>
    <w:rsid w:val="00A120F3"/>
    <w:rsid w:val="00A141E7"/>
    <w:rsid w:val="00A27717"/>
    <w:rsid w:val="00A30864"/>
    <w:rsid w:val="00A863F8"/>
    <w:rsid w:val="00A92BAC"/>
    <w:rsid w:val="00AA47F0"/>
    <w:rsid w:val="00AB357E"/>
    <w:rsid w:val="00AC6350"/>
    <w:rsid w:val="00AE60ED"/>
    <w:rsid w:val="00AE7854"/>
    <w:rsid w:val="00B13C61"/>
    <w:rsid w:val="00B40AC6"/>
    <w:rsid w:val="00B60447"/>
    <w:rsid w:val="00B63234"/>
    <w:rsid w:val="00B85D02"/>
    <w:rsid w:val="00BA4F88"/>
    <w:rsid w:val="00BA6DBA"/>
    <w:rsid w:val="00BB00E2"/>
    <w:rsid w:val="00BB71C1"/>
    <w:rsid w:val="00BC24D7"/>
    <w:rsid w:val="00BD430C"/>
    <w:rsid w:val="00BD72D3"/>
    <w:rsid w:val="00BE6C24"/>
    <w:rsid w:val="00BE7FD1"/>
    <w:rsid w:val="00C03FC2"/>
    <w:rsid w:val="00C32B3E"/>
    <w:rsid w:val="00C64E43"/>
    <w:rsid w:val="00C8261C"/>
    <w:rsid w:val="00C86FDE"/>
    <w:rsid w:val="00C91916"/>
    <w:rsid w:val="00CB5219"/>
    <w:rsid w:val="00CC217D"/>
    <w:rsid w:val="00CC58E1"/>
    <w:rsid w:val="00CD21CE"/>
    <w:rsid w:val="00CD6E3E"/>
    <w:rsid w:val="00D0262F"/>
    <w:rsid w:val="00D326E6"/>
    <w:rsid w:val="00D356E3"/>
    <w:rsid w:val="00D369E6"/>
    <w:rsid w:val="00D53AF5"/>
    <w:rsid w:val="00D54F47"/>
    <w:rsid w:val="00D64569"/>
    <w:rsid w:val="00D706FB"/>
    <w:rsid w:val="00D71064"/>
    <w:rsid w:val="00D862F7"/>
    <w:rsid w:val="00DA7F69"/>
    <w:rsid w:val="00DC4981"/>
    <w:rsid w:val="00DC7499"/>
    <w:rsid w:val="00DC75DF"/>
    <w:rsid w:val="00DD0C8B"/>
    <w:rsid w:val="00DE0D26"/>
    <w:rsid w:val="00DF3824"/>
    <w:rsid w:val="00E01362"/>
    <w:rsid w:val="00E5140F"/>
    <w:rsid w:val="00E5302D"/>
    <w:rsid w:val="00E579ED"/>
    <w:rsid w:val="00E63D88"/>
    <w:rsid w:val="00E66C9D"/>
    <w:rsid w:val="00E81309"/>
    <w:rsid w:val="00EB7F0D"/>
    <w:rsid w:val="00EE4F6D"/>
    <w:rsid w:val="00EF0DD2"/>
    <w:rsid w:val="00F057CD"/>
    <w:rsid w:val="00F1716E"/>
    <w:rsid w:val="00F26DD0"/>
    <w:rsid w:val="00F32B4D"/>
    <w:rsid w:val="00F37041"/>
    <w:rsid w:val="00F376CB"/>
    <w:rsid w:val="00F410FA"/>
    <w:rsid w:val="00F41BAB"/>
    <w:rsid w:val="00F47E53"/>
    <w:rsid w:val="00F71529"/>
    <w:rsid w:val="00F75FB0"/>
    <w:rsid w:val="00F80C1F"/>
    <w:rsid w:val="00FA4DDA"/>
    <w:rsid w:val="00FB1D99"/>
    <w:rsid w:val="00FB2CA0"/>
    <w:rsid w:val="00FE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0FDE1"/>
  <w15:docId w15:val="{2F09606E-8DB5-483E-9AD8-2FFBBB0A9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796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B7F0D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B7F0D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EB7F0D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7F0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7F0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7F0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900B9E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2564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5646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5646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564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56462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6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64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47CE5-D2B9-45C3-A7BA-6DFFBBCDB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2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Francia Claudio</dc:creator>
  <cp:lastModifiedBy>Zacchi Giovanni</cp:lastModifiedBy>
  <cp:revision>5</cp:revision>
  <cp:lastPrinted>2020-03-27T11:47:00Z</cp:lastPrinted>
  <dcterms:created xsi:type="dcterms:W3CDTF">2021-02-26T10:30:00Z</dcterms:created>
  <dcterms:modified xsi:type="dcterms:W3CDTF">2022-05-06T08:22:00Z</dcterms:modified>
</cp:coreProperties>
</file>